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F55DD" w:rsidRDefault="001F55DD">
      <w:pPr>
        <w:pStyle w:val="normal0"/>
        <w:jc w:val="right"/>
      </w:pPr>
      <w:r>
        <w:rPr>
          <w:sz w:val="20"/>
        </w:rPr>
        <w:t xml:space="preserve">ТСН “Сестрорецкий разлив </w:t>
      </w:r>
      <w:smartTag w:uri="urn:schemas-microsoft-com:office:smarttags" w:element="metricconverter">
        <w:smartTagPr>
          <w:attr w:name="ProductID" w:val="1”"/>
        </w:smartTagPr>
        <w:r>
          <w:rPr>
            <w:sz w:val="20"/>
          </w:rPr>
          <w:t>1”</w:t>
        </w:r>
      </w:smartTag>
      <w:r>
        <w:rPr>
          <w:sz w:val="20"/>
        </w:rPr>
        <w:t>, ул. Всеволода Борова, 30,</w:t>
      </w:r>
      <w:r>
        <w:rPr>
          <w:b/>
          <w:sz w:val="20"/>
        </w:rPr>
        <w:t xml:space="preserve"> tsn1.srazliv.ru</w:t>
      </w:r>
    </w:p>
    <w:p w:rsidR="001F55DD" w:rsidRDefault="001F55DD">
      <w:pPr>
        <w:pStyle w:val="normal0"/>
        <w:jc w:val="right"/>
      </w:pPr>
      <w:r>
        <w:rPr>
          <w:sz w:val="20"/>
        </w:rPr>
        <w:t xml:space="preserve">ТСН “Сестрорецкий разлив </w:t>
      </w:r>
      <w:smartTag w:uri="urn:schemas-microsoft-com:office:smarttags" w:element="metricconverter">
        <w:smartTagPr>
          <w:attr w:name="ProductID" w:val="2”"/>
        </w:smartTagPr>
        <w:r>
          <w:rPr>
            <w:sz w:val="20"/>
          </w:rPr>
          <w:t>2”</w:t>
        </w:r>
      </w:smartTag>
      <w:r>
        <w:rPr>
          <w:sz w:val="20"/>
        </w:rPr>
        <w:t xml:space="preserve">, ул. Николая Соколова, 31, </w:t>
      </w:r>
      <w:r>
        <w:rPr>
          <w:b/>
          <w:sz w:val="20"/>
        </w:rPr>
        <w:t>tsn2.srazliv.ru</w:t>
      </w:r>
    </w:p>
    <w:p w:rsidR="001F55DD" w:rsidRPr="00034AF0" w:rsidRDefault="001F55DD">
      <w:pPr>
        <w:pStyle w:val="normal0"/>
        <w:jc w:val="right"/>
        <w:rPr>
          <w:lang w:val="en-US"/>
        </w:rPr>
      </w:pPr>
      <w:r w:rsidRPr="00034AF0">
        <w:rPr>
          <w:sz w:val="20"/>
          <w:lang w:val="en-US"/>
        </w:rPr>
        <w:t xml:space="preserve">e-mail: </w:t>
      </w:r>
      <w:hyperlink r:id="rId5">
        <w:r w:rsidRPr="00034AF0">
          <w:rPr>
            <w:color w:val="1155CC"/>
            <w:sz w:val="20"/>
            <w:u w:val="single"/>
            <w:lang w:val="en-US"/>
          </w:rPr>
          <w:t>info@srazliv.ru</w:t>
        </w:r>
      </w:hyperlink>
      <w:r w:rsidRPr="00034AF0">
        <w:rPr>
          <w:sz w:val="20"/>
          <w:lang w:val="en-US"/>
        </w:rPr>
        <w:t xml:space="preserve">, </w:t>
      </w:r>
      <w:r>
        <w:rPr>
          <w:sz w:val="20"/>
        </w:rPr>
        <w:t>тел</w:t>
      </w:r>
      <w:r w:rsidRPr="00034AF0">
        <w:rPr>
          <w:sz w:val="20"/>
          <w:lang w:val="en-US"/>
        </w:rPr>
        <w:t>.: +7 (921) 862-07-37</w:t>
      </w:r>
    </w:p>
    <w:p w:rsidR="001F55DD" w:rsidRPr="00034AF0" w:rsidRDefault="001F55DD">
      <w:pPr>
        <w:pStyle w:val="normal0"/>
        <w:jc w:val="right"/>
        <w:rPr>
          <w:lang w:val="en-US"/>
        </w:rPr>
      </w:pPr>
    </w:p>
    <w:p w:rsidR="001F55DD" w:rsidRDefault="001F55DD">
      <w:pPr>
        <w:pStyle w:val="normal0"/>
        <w:jc w:val="center"/>
      </w:pPr>
      <w:r>
        <w:rPr>
          <w:b/>
          <w:sz w:val="28"/>
        </w:rPr>
        <w:t>Информация от ТСН</w:t>
      </w:r>
    </w:p>
    <w:p w:rsidR="001F55DD" w:rsidRDefault="001F55DD">
      <w:pPr>
        <w:pStyle w:val="normal0"/>
      </w:pPr>
    </w:p>
    <w:tbl>
      <w:tblPr>
        <w:tblW w:w="108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000"/>
      </w:tblPr>
      <w:tblGrid>
        <w:gridCol w:w="5500"/>
        <w:gridCol w:w="5300"/>
      </w:tblGrid>
      <w:tr w:rsidR="001F55DD" w:rsidTr="001A0B3C">
        <w:trPr>
          <w:trHeight w:val="420"/>
        </w:trPr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Уважаемые соседи!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Вы, наверное, уже знаете, что в </w:t>
            </w:r>
            <w:r w:rsidRPr="001A0B3C">
              <w:rPr>
                <w:b/>
              </w:rPr>
              <w:t>нашем доме создано ТСЖ</w:t>
            </w:r>
            <w:r>
              <w:t>. В почтовых ящиках вы видели квитанции на оплату газа, поступающего в наши котельные. В объявлениях, размещаемых управляющей компанией, его обычно называют “непонятными людьми”. Что же это за ТСЖ (ТСН)?</w:t>
            </w:r>
          </w:p>
        </w:tc>
      </w:tr>
      <w:tr w:rsidR="001F55DD" w:rsidTr="00BA12C6">
        <w:trPr>
          <w:trHeight w:val="420"/>
        </w:trPr>
        <w:tc>
          <w:tcPr>
            <w:tcW w:w="5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Сообщество жителей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Компания </w:t>
            </w:r>
            <w:r w:rsidRPr="001A0B3C">
              <w:rPr>
                <w:b/>
              </w:rPr>
              <w:t xml:space="preserve">Полифас </w:t>
            </w:r>
            <w:r>
              <w:t xml:space="preserve">начала строить 2-ю очередь ЖК “Рай в шалаше” (наши дома) в 2006 году, а первые договоры долевого участия заключались ещё в 2004-м. Первоначальный срок сдачи домов неоднократно сдвигался, и где-то в 2008-м году стало понятно, что “инвесторы” постепенно переходят в категорию “обманутые дольщики”. Тогда несколько людей создали </w:t>
            </w:r>
            <w:r w:rsidRPr="001A0B3C">
              <w:rPr>
                <w:b/>
              </w:rPr>
              <w:t>группу ВКонтакте</w:t>
            </w:r>
            <w:r>
              <w:t xml:space="preserve">, нашли других дольщиков и начали вместе бороться за получение своих квартир. Сейчас о нас знает </w:t>
            </w:r>
            <w:r w:rsidRPr="001A0B3C">
              <w:rPr>
                <w:b/>
              </w:rPr>
              <w:t>большинство собственников и жильцов</w:t>
            </w:r>
            <w:r>
              <w:t xml:space="preserve"> этих домов (порядка 200 квартир оставили свои координаты).</w:t>
            </w:r>
          </w:p>
        </w:tc>
        <w:tc>
          <w:tcPr>
            <w:tcW w:w="530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Мошенничество и совпадения</w:t>
            </w:r>
          </w:p>
          <w:p w:rsidR="001F55DD" w:rsidRDefault="001F55DD" w:rsidP="001A0B3C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left="255" w:hanging="180"/>
              <w:contextualSpacing/>
            </w:pPr>
            <w:r>
              <w:t xml:space="preserve">На генерального директора ООО “СТК Полифас” Сергея Александровича Кадубинского было заведено </w:t>
            </w:r>
            <w:r w:rsidRPr="001A0B3C">
              <w:rPr>
                <w:b/>
              </w:rPr>
              <w:t>уголовное дело</w:t>
            </w:r>
            <w:r>
              <w:t xml:space="preserve"> о мошенничестве, многие дольщики были признаны потерпевшими.</w:t>
            </w:r>
          </w:p>
          <w:p w:rsidR="001F55DD" w:rsidRDefault="001F55DD" w:rsidP="001A0B3C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left="255" w:hanging="180"/>
              <w:contextualSpacing/>
            </w:pPr>
            <w:r w:rsidRPr="001A0B3C">
              <w:rPr>
                <w:b/>
              </w:rPr>
              <w:t>Конкурсный управляющи</w:t>
            </w:r>
            <w:r>
              <w:t xml:space="preserve">й Еньков Андрей Юрьевич был выбран собранием кредиторов, где основная масса голосов принадлежала компаниям Алта, Ветта и Сентра. Впоследствии сумма их претензий была уменьшена </w:t>
            </w:r>
            <w:r w:rsidRPr="001A0B3C">
              <w:rPr>
                <w:b/>
              </w:rPr>
              <w:t>в десятки раз</w:t>
            </w:r>
            <w:r>
              <w:t xml:space="preserve">, но КУ был уже назначен. </w:t>
            </w:r>
          </w:p>
          <w:p w:rsidR="001F55DD" w:rsidRDefault="001F55DD" w:rsidP="001A0B3C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left="255" w:hanging="180"/>
              <w:contextualSpacing/>
            </w:pPr>
            <w:r>
              <w:t xml:space="preserve">На суде предствители этих компаний, Полифаса и КУ действуют </w:t>
            </w:r>
            <w:r w:rsidRPr="001A0B3C">
              <w:rPr>
                <w:b/>
              </w:rPr>
              <w:t>единым фронтом</w:t>
            </w:r>
            <w:r>
              <w:t>, сообща (в том числе и в интересах ООО “</w:t>
            </w:r>
            <w:r w:rsidRPr="001A0B3C">
              <w:rPr>
                <w:b/>
              </w:rPr>
              <w:t>Аквастим</w:t>
            </w:r>
            <w:r>
              <w:t>”)</w:t>
            </w:r>
          </w:p>
          <w:p w:rsidR="001F55DD" w:rsidRDefault="001F55DD" w:rsidP="001A0B3C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left="255" w:hanging="180"/>
              <w:contextualSpacing/>
            </w:pPr>
            <w:r>
              <w:t xml:space="preserve">Условием для сдачи дома КУ называл оплату жильцами </w:t>
            </w:r>
            <w:r w:rsidRPr="001A0B3C">
              <w:rPr>
                <w:b/>
              </w:rPr>
              <w:t>10% сверху</w:t>
            </w:r>
            <w:r>
              <w:t xml:space="preserve"> сумм их договоров как оплату “непредвиденных расходов”. Дольщикам удалось отбиться от этих требований.</w:t>
            </w:r>
          </w:p>
          <w:p w:rsidR="001F55DD" w:rsidRDefault="001F55DD" w:rsidP="001A0B3C">
            <w:pPr>
              <w:pStyle w:val="normal0"/>
              <w:widowControl w:val="0"/>
              <w:numPr>
                <w:ilvl w:val="0"/>
                <w:numId w:val="1"/>
              </w:numPr>
              <w:spacing w:line="240" w:lineRule="auto"/>
              <w:ind w:left="255" w:hanging="180"/>
              <w:contextualSpacing/>
            </w:pPr>
            <w:r>
              <w:t xml:space="preserve">До сдачи дома в эксплуатацию дома охранялись нанятой КУ организацией, получающей по </w:t>
            </w:r>
            <w:r w:rsidRPr="001A0B3C">
              <w:rPr>
                <w:b/>
              </w:rPr>
              <w:t>250 тысяч</w:t>
            </w:r>
            <w:r>
              <w:t xml:space="preserve"> </w:t>
            </w:r>
            <w:r w:rsidRPr="00034AF0">
              <w:rPr>
                <w:b/>
              </w:rPr>
              <w:t>(!)</w:t>
            </w:r>
            <w:r>
              <w:t xml:space="preserve"> в месяц.</w:t>
            </w:r>
          </w:p>
        </w:tc>
      </w:tr>
      <w:tr w:rsidR="001F55DD" w:rsidTr="00BA12C6">
        <w:trPr>
          <w:trHeight w:val="420"/>
        </w:trPr>
        <w:tc>
          <w:tcPr>
            <w:tcW w:w="550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Проблемы со сдачей дома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Видимо, для того, чтобы продать больше квартир, Полифас увеличил этажность дома. Это привело к тому, что дом </w:t>
            </w:r>
            <w:r w:rsidRPr="001A0B3C">
              <w:rPr>
                <w:b/>
              </w:rPr>
              <w:t>перестал соответствовать проекту</w:t>
            </w:r>
            <w:r>
              <w:t xml:space="preserve"> (а дом без проекта власти были вправе </w:t>
            </w:r>
            <w:r w:rsidRPr="001A0B3C">
              <w:rPr>
                <w:b/>
              </w:rPr>
              <w:t xml:space="preserve">снести </w:t>
            </w:r>
            <w:r>
              <w:t xml:space="preserve">как незаконную постройку). Дотянув до 2008 года, компания столкнулась с кризисом, и </w:t>
            </w:r>
            <w:r w:rsidRPr="001A0B3C">
              <w:rPr>
                <w:b/>
              </w:rPr>
              <w:t>работы практически встали</w:t>
            </w:r>
            <w:r>
              <w:t xml:space="preserve">. В 2010-м году началась процедура </w:t>
            </w:r>
            <w:r w:rsidRPr="001A0B3C">
              <w:rPr>
                <w:b/>
              </w:rPr>
              <w:t>банкротства</w:t>
            </w:r>
            <w:r>
              <w:t xml:space="preserve">, в которой пришлось участвовать и покупателям квартир. Наши дома стали первыми, к которым был применён </w:t>
            </w:r>
            <w:r w:rsidRPr="001A0B3C">
              <w:rPr>
                <w:b/>
              </w:rPr>
              <w:t>новый порядок банкротства</w:t>
            </w:r>
            <w:r>
              <w:t xml:space="preserve"> застройщика, по которому покупатели квартир получают именно свои квартиры, а не остатки от продажи имущества застройщика. При рассмотрении дела попутно выяснилось, что юридически Полифас </w:t>
            </w:r>
            <w:r w:rsidRPr="001A0B3C">
              <w:rPr>
                <w:b/>
              </w:rPr>
              <w:t>не был застройщиком</w:t>
            </w:r>
            <w:r>
              <w:t xml:space="preserve"> и все разрешительные документы выдавались ООО “Коттеджстрой”. 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>Хотя никто из лиц, участвующих в банкротстве, не претендовал на квартиры, купленные дольщиками, борьба за коммерческие помещения и паркинг велась</w:t>
            </w:r>
            <w:r w:rsidRPr="001A0B3C">
              <w:rPr>
                <w:b/>
              </w:rPr>
              <w:t xml:space="preserve"> без учёта наших интересов</w:t>
            </w:r>
            <w:r>
              <w:t xml:space="preserve">. Добиваться сдачи дома в эксплуатацию пришлось </w:t>
            </w:r>
            <w:r w:rsidRPr="001A0B3C">
              <w:rPr>
                <w:b/>
              </w:rPr>
              <w:t>нам самим</w:t>
            </w:r>
            <w:r>
              <w:t>.</w:t>
            </w:r>
          </w:p>
        </w:tc>
        <w:tc>
          <w:tcPr>
            <w:tcW w:w="53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</w:p>
        </w:tc>
      </w:tr>
      <w:tr w:rsidR="001F55DD" w:rsidTr="00BA12C6">
        <w:trPr>
          <w:trHeight w:val="420"/>
        </w:trPr>
        <w:tc>
          <w:tcPr>
            <w:tcW w:w="55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</w:p>
        </w:tc>
        <w:tc>
          <w:tcPr>
            <w:tcW w:w="530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Создание ТСН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После попытки создать единое ТСЖ на 2 дома (В. Боброва, 30 и Н. Соколова, 31), для чего требовалось решение ⅔ от общего числа голосов (читай - площади помещений), были проведены собрания по каждому из домов отдельно, в таком случае достаточно 50% голосов ЗА. Голосование проводилось </w:t>
            </w:r>
            <w:r w:rsidRPr="001A0B3C">
              <w:rPr>
                <w:b/>
              </w:rPr>
              <w:t xml:space="preserve">8-10 фераля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1A0B3C">
                <w:rPr>
                  <w:b/>
                </w:rPr>
                <w:t>2015 г</w:t>
              </w:r>
            </w:smartTag>
            <w:r>
              <w:t xml:space="preserve">., после подсчёта голосов и оформления протоколов документы были поданы на регистрацию. </w:t>
            </w:r>
            <w:r w:rsidRPr="001A0B3C">
              <w:rPr>
                <w:b/>
              </w:rPr>
              <w:t>2-го марта</w:t>
            </w:r>
            <w:r>
              <w:t xml:space="preserve"> было зарегистрировано Товарищество собственников недвижимости (жилья) “Сестрорецкий разлив </w:t>
            </w:r>
            <w:smartTag w:uri="urn:schemas-microsoft-com:office:smarttags" w:element="metricconverter">
              <w:smartTagPr>
                <w:attr w:name="ProductID" w:val="2”"/>
              </w:smartTagPr>
              <w:r>
                <w:t>2”</w:t>
              </w:r>
            </w:smartTag>
            <w:r>
              <w:t xml:space="preserve">, сокращённо </w:t>
            </w:r>
            <w:r w:rsidRPr="001A0B3C">
              <w:rPr>
                <w:b/>
              </w:rPr>
              <w:t xml:space="preserve">ТСН “Сестрорецкий разлив </w:t>
            </w:r>
            <w:smartTag w:uri="urn:schemas-microsoft-com:office:smarttags" w:element="metricconverter">
              <w:smartTagPr>
                <w:attr w:name="ProductID" w:val="2”"/>
              </w:smartTagPr>
              <w:r w:rsidRPr="001A0B3C">
                <w:rPr>
                  <w:b/>
                </w:rPr>
                <w:t>2”</w:t>
              </w:r>
            </w:smartTag>
            <w:r>
              <w:t xml:space="preserve">, 17-го марта </w:t>
            </w:r>
            <w:r w:rsidRPr="001A0B3C">
              <w:rPr>
                <w:b/>
              </w:rPr>
              <w:t xml:space="preserve">ТСН “Сестрорецкий разлив </w:t>
            </w:r>
            <w:smartTag w:uri="urn:schemas-microsoft-com:office:smarttags" w:element="metricconverter">
              <w:smartTagPr>
                <w:attr w:name="ProductID" w:val="1”"/>
              </w:smartTagPr>
              <w:r w:rsidRPr="001A0B3C">
                <w:rPr>
                  <w:b/>
                </w:rPr>
                <w:t>1”</w:t>
              </w:r>
            </w:smartTag>
            <w:r>
              <w:t>.</w:t>
            </w:r>
          </w:p>
        </w:tc>
      </w:tr>
      <w:tr w:rsidR="001F55DD" w:rsidTr="00BA12C6">
        <w:trPr>
          <w:trHeight w:val="420"/>
        </w:trPr>
        <w:tc>
          <w:tcPr>
            <w:tcW w:w="55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</w:p>
        </w:tc>
        <w:tc>
          <w:tcPr>
            <w:tcW w:w="53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</w:p>
        </w:tc>
      </w:tr>
      <w:tr w:rsidR="001F55DD" w:rsidTr="00BA12C6">
        <w:trPr>
          <w:trHeight w:val="420"/>
        </w:trPr>
        <w:tc>
          <w:tcPr>
            <w:tcW w:w="5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Назначение ЖКСервис и Аквастим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В декабре 2013  года конкурсный управляющий заключил договор на управление многоквартирным домом с ООО “ЖКСервис”. Договор был заключён </w:t>
            </w:r>
            <w:r w:rsidRPr="001A0B3C">
              <w:rPr>
                <w:b/>
              </w:rPr>
              <w:t>на 3 месяца</w:t>
            </w:r>
            <w:r>
              <w:t xml:space="preserve">, по истечении которых возможна пролонгация. При этом управляющая организация сразу выставила жильцам квитанции </w:t>
            </w:r>
            <w:r w:rsidRPr="001A0B3C">
              <w:rPr>
                <w:b/>
              </w:rPr>
              <w:t>на полгода вперёд</w:t>
            </w:r>
            <w:r>
              <w:t>, а при процедуре подписания актов приёма-передачи людям предлагали подписать обязательство заключить договор с ЖКС.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Так как многие уже поняли, что КУ защищает интересы </w:t>
            </w:r>
            <w:r w:rsidRPr="001A0B3C">
              <w:rPr>
                <w:b/>
              </w:rPr>
              <w:t>кого угодно, только не жильцов</w:t>
            </w:r>
            <w:r>
              <w:t xml:space="preserve">, то и к назначенным им организациям отнеслись настороженно. И не напрасно. Сейчас наши дома оказались в ситуации, когда у жильцов нет никакой возможности </w:t>
            </w:r>
            <w:r w:rsidRPr="001A0B3C">
              <w:rPr>
                <w:b/>
              </w:rPr>
              <w:t>управлять своими домами</w:t>
            </w:r>
            <w:r>
              <w:t xml:space="preserve">, когда в домах </w:t>
            </w:r>
            <w:r w:rsidRPr="001A0B3C">
              <w:rPr>
                <w:b/>
              </w:rPr>
              <w:t>отключают горячую воду и отопление</w:t>
            </w:r>
            <w:r>
              <w:t>, когда нас заставляют платить за то, что нам не надо, а то, что нам надо, не делается или делается “для галочки”.</w:t>
            </w:r>
          </w:p>
        </w:tc>
        <w:tc>
          <w:tcPr>
            <w:tcW w:w="5300" w:type="dxa"/>
            <w:vMerge w:val="restart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 xml:space="preserve"> Незаконные действия ЖКС и Аквастим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</w:tabs>
              <w:spacing w:line="240" w:lineRule="auto"/>
              <w:ind w:left="360" w:hanging="270"/>
              <w:contextualSpacing/>
            </w:pPr>
            <w:r>
              <w:t xml:space="preserve">Хотя юридически </w:t>
            </w:r>
            <w:r w:rsidRPr="001A0B3C">
              <w:rPr>
                <w:b/>
              </w:rPr>
              <w:t>застройщиком является Коттеджстрой</w:t>
            </w:r>
            <w:r>
              <w:t>, договор управления подписан КУ от имени Полифаса.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55"/>
              </w:tabs>
              <w:spacing w:line="240" w:lineRule="auto"/>
              <w:ind w:left="360" w:hanging="270"/>
              <w:contextualSpacing/>
            </w:pPr>
            <w:r>
              <w:t xml:space="preserve">Аквастим уверяет, что является владельцем котельных, что </w:t>
            </w:r>
            <w:r w:rsidRPr="001A0B3C">
              <w:rPr>
                <w:b/>
              </w:rPr>
              <w:t>ничем не подтверждено</w:t>
            </w:r>
            <w:r>
              <w:t xml:space="preserve"> и не может быть подтверждено, т. к. они вводились в составе дома и без них отопление дома, а значит, и ввод его в эксплуатацию, невозможны. 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55"/>
              </w:tabs>
              <w:spacing w:line="240" w:lineRule="auto"/>
              <w:ind w:left="360" w:hanging="270"/>
              <w:contextualSpacing/>
            </w:pPr>
            <w:r>
              <w:t xml:space="preserve">По закону, в домах, где жильцами на общем собрании или в результете тендера, проведённого администрацией района, не выбрана форма управления, а имеется только назначенная застройщиком управляющая организация, </w:t>
            </w:r>
            <w:r w:rsidRPr="001A0B3C">
              <w:rPr>
                <w:b/>
              </w:rPr>
              <w:t>все платежи за услуги должны идти только управляющей компании</w:t>
            </w:r>
            <w:r>
              <w:t>. По какой-то причине квитанции за отопление выставляются от имени Аквастима, и ЖКСервис упорно не хочет брать на себя такой “риск”.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55"/>
              </w:tabs>
              <w:spacing w:line="240" w:lineRule="auto"/>
              <w:ind w:left="360" w:hanging="270"/>
              <w:contextualSpacing/>
            </w:pPr>
            <w:r>
              <w:t xml:space="preserve">Услуги, не входящие в перечень основных услуг по обслуживанию дома (охрана, домофоны и пр.), </w:t>
            </w:r>
            <w:r w:rsidRPr="001A0B3C">
              <w:rPr>
                <w:b/>
              </w:rPr>
              <w:t>должны утверждаться общим собранием</w:t>
            </w:r>
            <w:r>
              <w:t xml:space="preserve"> собственников. Несмотря на это, такие услуги нам навязали. При установке домофонов управляющая организация даже пыталась не выдавать ключи. Только после угрозы вскрытия замков с полицией эти попытки были оставлены.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55"/>
              </w:tabs>
              <w:spacing w:line="240" w:lineRule="auto"/>
              <w:ind w:left="360" w:hanging="270"/>
              <w:contextualSpacing/>
            </w:pPr>
            <w:r>
              <w:t xml:space="preserve">Аквастим </w:t>
            </w:r>
            <w:r w:rsidRPr="001A0B3C">
              <w:rPr>
                <w:b/>
              </w:rPr>
              <w:t>не является организацией, обслуживающей дома</w:t>
            </w:r>
            <w:r>
              <w:t xml:space="preserve">, это обычный коммерческий потребитель. Поэтому Межрегионгаз спокойно может отключить ему газ, что и было сделано в марте. Как выяснялось, с декабря прошлого года Аквастим </w:t>
            </w:r>
            <w:r w:rsidRPr="001A0B3C">
              <w:rPr>
                <w:b/>
              </w:rPr>
              <w:t>не платил за топливо</w:t>
            </w:r>
            <w:r>
              <w:t>.</w:t>
            </w:r>
          </w:p>
          <w:p w:rsidR="001F55DD" w:rsidRDefault="001F55DD" w:rsidP="00034AF0">
            <w:pPr>
              <w:pStyle w:val="normal0"/>
              <w:widowControl w:val="0"/>
              <w:numPr>
                <w:ilvl w:val="0"/>
                <w:numId w:val="2"/>
              </w:numPr>
              <w:tabs>
                <w:tab w:val="left" w:pos="360"/>
                <w:tab w:val="left" w:pos="555"/>
              </w:tabs>
              <w:spacing w:line="240" w:lineRule="auto"/>
              <w:ind w:left="360" w:hanging="270"/>
              <w:contextualSpacing/>
            </w:pPr>
            <w:r>
              <w:t xml:space="preserve">Установленные ТСН информационные щиты были </w:t>
            </w:r>
            <w:r w:rsidRPr="001A0B3C">
              <w:rPr>
                <w:b/>
              </w:rPr>
              <w:t>украдены</w:t>
            </w:r>
            <w:r>
              <w:t xml:space="preserve">, при этом “охрана” не просто не препятствовала этому, она заперлась в своём помещении и </w:t>
            </w:r>
            <w:r w:rsidRPr="001A0B3C">
              <w:rPr>
                <w:b/>
              </w:rPr>
              <w:t>не пустила полицию</w:t>
            </w:r>
            <w:r>
              <w:t xml:space="preserve"> для ознакомления с видеозаписями. Видимо, охранять надо только ЖКСервис от жильцов.</w:t>
            </w:r>
          </w:p>
        </w:tc>
      </w:tr>
      <w:tr w:rsidR="001F55DD" w:rsidTr="00BA12C6">
        <w:trPr>
          <w:trHeight w:val="420"/>
        </w:trPr>
        <w:tc>
          <w:tcPr>
            <w:tcW w:w="55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Действия ТСН по решению проблемы с газоснабжением котельных.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В марте Межрегионгаз </w:t>
            </w:r>
            <w:r w:rsidRPr="001A0B3C">
              <w:rPr>
                <w:b/>
              </w:rPr>
              <w:t>отключил газ</w:t>
            </w:r>
            <w:r>
              <w:t xml:space="preserve">, поступавший в котельные для обогрева домов, т.к. Аквастим задолжал ему больше миллиона рублей. Правлению ТСН удалось провести переговоры </w:t>
            </w:r>
            <w:r w:rsidRPr="001A0B3C">
              <w:rPr>
                <w:b/>
              </w:rPr>
              <w:t>с руководством МРГ</w:t>
            </w:r>
            <w:r>
              <w:t xml:space="preserve">, где была выработана схема возобновления поставок газа. ТСН заключили договор на </w:t>
            </w:r>
            <w:r w:rsidRPr="001A0B3C">
              <w:rPr>
                <w:b/>
              </w:rPr>
              <w:t>выкуп долга</w:t>
            </w:r>
            <w:r>
              <w:t xml:space="preserve"> Аквастима перед МРГ, в обмен на это МРГ </w:t>
            </w:r>
            <w:r w:rsidRPr="001A0B3C">
              <w:rPr>
                <w:b/>
              </w:rPr>
              <w:t xml:space="preserve">гарантировал </w:t>
            </w:r>
            <w:r>
              <w:t>поставки газа Аквастиму до конца апреля. В ТСН был создан специальный фонд для выполнения условий этого договора. Взносы в фонд осуществляют жители разовыми взносами из расчёта 100 рублей с м</w:t>
            </w:r>
            <w:r w:rsidRPr="001A0B3C">
              <w:rPr>
                <w:vertAlign w:val="superscript"/>
              </w:rPr>
              <w:t>2</w:t>
            </w:r>
            <w:r>
              <w:t xml:space="preserve"> и по квитанциям за март и апрель, рассчитываемым на основании поставленного в эти периоды газа.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Если бы вся сумма была собрана, то с 1-го мая ТСН заключили бы </w:t>
            </w:r>
            <w:r w:rsidRPr="001A0B3C">
              <w:rPr>
                <w:b/>
              </w:rPr>
              <w:t>обычный договор на поставку газа</w:t>
            </w:r>
            <w:r>
              <w:t xml:space="preserve">, и проблема с Аквастимом была бы решена. К сожалению, всю сумму собрать пока не удалось, на данный момент в МРГ отправлено </w:t>
            </w:r>
            <w:r w:rsidRPr="001A0B3C">
              <w:rPr>
                <w:b/>
              </w:rPr>
              <w:t>660 000</w:t>
            </w:r>
            <w:r>
              <w:t xml:space="preserve"> рублей, поэтому мы </w:t>
            </w:r>
            <w:r w:rsidRPr="001A0B3C">
              <w:rPr>
                <w:b/>
              </w:rPr>
              <w:t>всё ещё в заложниках управляющей компании</w:t>
            </w:r>
            <w:r>
              <w:t>.</w:t>
            </w:r>
          </w:p>
        </w:tc>
        <w:tc>
          <w:tcPr>
            <w:tcW w:w="5300" w:type="dxa"/>
            <w:vMerge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</w:p>
        </w:tc>
      </w:tr>
      <w:tr w:rsidR="001F55DD" w:rsidTr="001A0B3C">
        <w:trPr>
          <w:trHeight w:val="420"/>
        </w:trPr>
        <w:tc>
          <w:tcPr>
            <w:tcW w:w="10800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 w:rsidRPr="001A0B3C">
              <w:rPr>
                <w:rFonts w:ascii="Verdana" w:hAnsi="Verdana" w:cs="Verdana"/>
                <w:b/>
              </w:rPr>
              <w:t>Передача домов в управление ТСН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 xml:space="preserve">ЖКСервис отказались передавать дома в управление ТСН, вместо этого они </w:t>
            </w:r>
            <w:r w:rsidRPr="001A0B3C">
              <w:rPr>
                <w:b/>
              </w:rPr>
              <w:t xml:space="preserve">отключили </w:t>
            </w:r>
            <w:r>
              <w:t xml:space="preserve">горячую воду и </w:t>
            </w:r>
            <w:r w:rsidRPr="001A0B3C">
              <w:rPr>
                <w:b/>
              </w:rPr>
              <w:t>усилили дверь</w:t>
            </w:r>
            <w:r>
              <w:t xml:space="preserve"> в своё помещение. Нам предстоит </w:t>
            </w:r>
            <w:r w:rsidRPr="001A0B3C">
              <w:rPr>
                <w:b/>
              </w:rPr>
              <w:t>выгнать их</w:t>
            </w:r>
            <w:r>
              <w:t xml:space="preserve">. Для того чтобы ТСН имело больший вес, необходимо, чтоб </w:t>
            </w:r>
            <w:r w:rsidRPr="001A0B3C">
              <w:rPr>
                <w:b/>
              </w:rPr>
              <w:t>как можно больше собственников были членами ТСН</w:t>
            </w:r>
            <w:r>
              <w:t xml:space="preserve">. Бланк заявления на вступление, координаты для связи вы можете найти на сайте вашего ТСН. </w:t>
            </w:r>
          </w:p>
          <w:p w:rsidR="001F55DD" w:rsidRDefault="001F55DD" w:rsidP="001A0B3C">
            <w:pPr>
              <w:pStyle w:val="normal0"/>
              <w:widowControl w:val="0"/>
              <w:spacing w:line="240" w:lineRule="auto"/>
            </w:pPr>
            <w:r>
              <w:t>Также всю подробную информацию вы можете получить в группе ТСН</w:t>
            </w:r>
            <w:r w:rsidRPr="001A0B3C">
              <w:rPr>
                <w:b/>
              </w:rPr>
              <w:t xml:space="preserve"> vk.com/polifas_paradise</w:t>
            </w:r>
            <w:r>
              <w:t xml:space="preserve">. </w:t>
            </w:r>
            <w:r w:rsidRPr="00BA12C6">
              <w:br/>
            </w:r>
            <w:r>
              <w:t>В группу допускаются только собственники и жильцы дома, так что, если вас долго не включают, свяжитесь с администрацией группы.</w:t>
            </w:r>
          </w:p>
        </w:tc>
      </w:tr>
    </w:tbl>
    <w:p w:rsidR="001F55DD" w:rsidRDefault="001F55DD">
      <w:pPr>
        <w:pStyle w:val="normal0"/>
      </w:pPr>
    </w:p>
    <w:sectPr w:rsidR="001F55DD" w:rsidSect="00034AF0">
      <w:pgSz w:w="12240" w:h="15840"/>
      <w:pgMar w:top="851" w:right="720" w:bottom="851" w:left="720" w:header="72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0A4DEA"/>
    <w:multiLevelType w:val="multilevel"/>
    <w:tmpl w:val="FFFFFFFF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">
    <w:nsid w:val="60C52612"/>
    <w:multiLevelType w:val="multilevel"/>
    <w:tmpl w:val="FFFFFFFF"/>
    <w:lvl w:ilvl="0">
      <w:start w:val="1"/>
      <w:numFmt w:val="decimal"/>
      <w:lvlText w:val="%1)"/>
      <w:lvlJc w:val="left"/>
      <w:pPr>
        <w:ind w:left="720" w:firstLine="360"/>
      </w:pPr>
      <w:rPr>
        <w:rFonts w:cs="Times New Roman"/>
        <w:u w:val="none"/>
      </w:rPr>
    </w:lvl>
    <w:lvl w:ilvl="1">
      <w:start w:val="1"/>
      <w:numFmt w:val="lowerLetter"/>
      <w:lvlText w:val="%2)"/>
      <w:lvlJc w:val="left"/>
      <w:pPr>
        <w:ind w:left="1440" w:firstLine="1080"/>
      </w:pPr>
      <w:rPr>
        <w:rFonts w:cs="Times New Roman"/>
        <w:u w:val="none"/>
      </w:rPr>
    </w:lvl>
    <w:lvl w:ilvl="2">
      <w:start w:val="1"/>
      <w:numFmt w:val="lowerRoman"/>
      <w:lvlText w:val="%3)"/>
      <w:lvlJc w:val="right"/>
      <w:pPr>
        <w:ind w:left="2160" w:firstLine="1800"/>
      </w:pPr>
      <w:rPr>
        <w:rFonts w:cs="Times New Roman"/>
        <w:u w:val="none"/>
      </w:rPr>
    </w:lvl>
    <w:lvl w:ilvl="3">
      <w:start w:val="1"/>
      <w:numFmt w:val="decimal"/>
      <w:lvlText w:val="(%4)"/>
      <w:lvlJc w:val="left"/>
      <w:pPr>
        <w:ind w:left="2880" w:firstLine="2520"/>
      </w:pPr>
      <w:rPr>
        <w:rFonts w:cs="Times New Roman"/>
        <w:u w:val="none"/>
      </w:rPr>
    </w:lvl>
    <w:lvl w:ilvl="4">
      <w:start w:val="1"/>
      <w:numFmt w:val="lowerLetter"/>
      <w:lvlText w:val="(%5)"/>
      <w:lvlJc w:val="left"/>
      <w:pPr>
        <w:ind w:left="3600" w:firstLine="3240"/>
      </w:pPr>
      <w:rPr>
        <w:rFonts w:cs="Times New Roman"/>
        <w:u w:val="none"/>
      </w:rPr>
    </w:lvl>
    <w:lvl w:ilvl="5">
      <w:start w:val="1"/>
      <w:numFmt w:val="lowerRoman"/>
      <w:lvlText w:val="(%6)"/>
      <w:lvlJc w:val="right"/>
      <w:pPr>
        <w:ind w:left="4320" w:firstLine="3960"/>
      </w:pPr>
      <w:rPr>
        <w:rFonts w:cs="Times New Roman"/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rFonts w:cs="Times New Roman"/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rFonts w:cs="Times New Roman"/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rFonts w:cs="Times New Roman"/>
        <w:u w:val="no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376F"/>
    <w:rsid w:val="00034AF0"/>
    <w:rsid w:val="0017729D"/>
    <w:rsid w:val="001A0B3C"/>
    <w:rsid w:val="001E376F"/>
    <w:rsid w:val="001F55DD"/>
    <w:rsid w:val="006C73AD"/>
    <w:rsid w:val="00BA12C6"/>
    <w:rsid w:val="00D92F83"/>
    <w:rsid w:val="00FE1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12FE"/>
    <w:pPr>
      <w:spacing w:line="276" w:lineRule="auto"/>
    </w:pPr>
    <w:rPr>
      <w:color w:val="000000"/>
      <w:szCs w:val="20"/>
    </w:rPr>
  </w:style>
  <w:style w:type="paragraph" w:styleId="Heading1">
    <w:name w:val="heading 1"/>
    <w:basedOn w:val="normal0"/>
    <w:next w:val="normal0"/>
    <w:link w:val="Heading1Char"/>
    <w:uiPriority w:val="99"/>
    <w:qFormat/>
    <w:rsid w:val="001E376F"/>
    <w:pPr>
      <w:keepNext/>
      <w:keepLines/>
      <w:spacing w:before="200"/>
      <w:contextualSpacing/>
      <w:outlineLvl w:val="0"/>
    </w:pPr>
    <w:rPr>
      <w:rFonts w:ascii="Trebuchet MS" w:hAnsi="Trebuchet MS" w:cs="Trebuchet MS"/>
      <w:sz w:val="32"/>
    </w:rPr>
  </w:style>
  <w:style w:type="paragraph" w:styleId="Heading2">
    <w:name w:val="heading 2"/>
    <w:basedOn w:val="normal0"/>
    <w:next w:val="normal0"/>
    <w:link w:val="Heading2Char"/>
    <w:uiPriority w:val="99"/>
    <w:qFormat/>
    <w:rsid w:val="001E376F"/>
    <w:pPr>
      <w:keepNext/>
      <w:keepLines/>
      <w:spacing w:before="200"/>
      <w:contextualSpacing/>
      <w:outlineLvl w:val="1"/>
    </w:pPr>
    <w:rPr>
      <w:rFonts w:ascii="Trebuchet MS" w:hAnsi="Trebuchet MS" w:cs="Trebuchet MS"/>
      <w:b/>
      <w:sz w:val="26"/>
    </w:rPr>
  </w:style>
  <w:style w:type="paragraph" w:styleId="Heading3">
    <w:name w:val="heading 3"/>
    <w:basedOn w:val="normal0"/>
    <w:next w:val="normal0"/>
    <w:link w:val="Heading3Char"/>
    <w:uiPriority w:val="99"/>
    <w:qFormat/>
    <w:rsid w:val="001E376F"/>
    <w:pPr>
      <w:keepNext/>
      <w:keepLines/>
      <w:spacing w:before="160"/>
      <w:contextualSpacing/>
      <w:outlineLvl w:val="2"/>
    </w:pPr>
    <w:rPr>
      <w:rFonts w:ascii="Trebuchet MS" w:hAnsi="Trebuchet MS" w:cs="Trebuchet MS"/>
      <w:b/>
      <w:color w:val="666666"/>
      <w:sz w:val="24"/>
    </w:rPr>
  </w:style>
  <w:style w:type="paragraph" w:styleId="Heading4">
    <w:name w:val="heading 4"/>
    <w:basedOn w:val="normal0"/>
    <w:next w:val="normal0"/>
    <w:link w:val="Heading4Char"/>
    <w:uiPriority w:val="99"/>
    <w:qFormat/>
    <w:rsid w:val="001E376F"/>
    <w:pPr>
      <w:keepNext/>
      <w:keepLines/>
      <w:spacing w:before="160"/>
      <w:contextualSpacing/>
      <w:outlineLvl w:val="3"/>
    </w:pPr>
    <w:rPr>
      <w:rFonts w:ascii="Trebuchet MS" w:hAnsi="Trebuchet MS" w:cs="Trebuchet MS"/>
      <w:color w:val="666666"/>
      <w:u w:val="single"/>
    </w:rPr>
  </w:style>
  <w:style w:type="paragraph" w:styleId="Heading5">
    <w:name w:val="heading 5"/>
    <w:basedOn w:val="normal0"/>
    <w:next w:val="normal0"/>
    <w:link w:val="Heading5Char"/>
    <w:uiPriority w:val="99"/>
    <w:qFormat/>
    <w:rsid w:val="001E376F"/>
    <w:pPr>
      <w:keepNext/>
      <w:keepLines/>
      <w:spacing w:before="160"/>
      <w:contextualSpacing/>
      <w:outlineLvl w:val="4"/>
    </w:pPr>
    <w:rPr>
      <w:rFonts w:ascii="Trebuchet MS" w:hAnsi="Trebuchet MS" w:cs="Trebuchet MS"/>
      <w:color w:val="666666"/>
    </w:rPr>
  </w:style>
  <w:style w:type="paragraph" w:styleId="Heading6">
    <w:name w:val="heading 6"/>
    <w:basedOn w:val="normal0"/>
    <w:next w:val="normal0"/>
    <w:link w:val="Heading6Char"/>
    <w:uiPriority w:val="99"/>
    <w:qFormat/>
    <w:rsid w:val="001E376F"/>
    <w:pPr>
      <w:keepNext/>
      <w:keepLines/>
      <w:spacing w:before="160"/>
      <w:contextualSpacing/>
      <w:outlineLvl w:val="5"/>
    </w:pPr>
    <w:rPr>
      <w:rFonts w:ascii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Pr>
      <w:rFonts w:ascii="Cambria" w:hAnsi="Cambria" w:cs="Times New Roman"/>
      <w:b/>
      <w:bCs/>
      <w:color w:val="000000"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Pr>
      <w:rFonts w:ascii="Cambria" w:hAnsi="Cambria" w:cs="Times New Roman"/>
      <w:b/>
      <w:bCs/>
      <w:i/>
      <w:iCs/>
      <w:color w:val="000000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semiHidden/>
    <w:locked/>
    <w:rPr>
      <w:rFonts w:ascii="Cambria" w:hAnsi="Cambria" w:cs="Times New Roman"/>
      <w:b/>
      <w:bCs/>
      <w:color w:val="000000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semiHidden/>
    <w:locked/>
    <w:rPr>
      <w:rFonts w:ascii="Calibri" w:hAnsi="Calibri" w:cs="Times New Roman"/>
      <w:b/>
      <w:bCs/>
      <w:color w:val="000000"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Pr>
      <w:rFonts w:ascii="Calibri" w:hAnsi="Calibri" w:cs="Times New Roman"/>
      <w:b/>
      <w:bCs/>
      <w:i/>
      <w:iCs/>
      <w:color w:val="000000"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9"/>
    <w:semiHidden/>
    <w:locked/>
    <w:rPr>
      <w:rFonts w:ascii="Calibri" w:hAnsi="Calibri" w:cs="Times New Roman"/>
      <w:b/>
      <w:bCs/>
      <w:color w:val="000000"/>
    </w:rPr>
  </w:style>
  <w:style w:type="paragraph" w:customStyle="1" w:styleId="normal0">
    <w:name w:val="normal"/>
    <w:uiPriority w:val="99"/>
    <w:rsid w:val="001E376F"/>
    <w:pPr>
      <w:spacing w:line="276" w:lineRule="auto"/>
    </w:pPr>
    <w:rPr>
      <w:color w:val="000000"/>
      <w:szCs w:val="20"/>
    </w:rPr>
  </w:style>
  <w:style w:type="paragraph" w:styleId="Title">
    <w:name w:val="Title"/>
    <w:basedOn w:val="normal0"/>
    <w:next w:val="normal0"/>
    <w:link w:val="TitleChar"/>
    <w:uiPriority w:val="99"/>
    <w:qFormat/>
    <w:rsid w:val="001E376F"/>
    <w:pPr>
      <w:keepNext/>
      <w:keepLines/>
      <w:contextualSpacing/>
    </w:pPr>
    <w:rPr>
      <w:rFonts w:ascii="Trebuchet MS" w:hAnsi="Trebuchet MS" w:cs="Trebuchet MS"/>
      <w:sz w:val="42"/>
    </w:rPr>
  </w:style>
  <w:style w:type="character" w:customStyle="1" w:styleId="TitleChar">
    <w:name w:val="Title Char"/>
    <w:basedOn w:val="DefaultParagraphFont"/>
    <w:link w:val="Title"/>
    <w:uiPriority w:val="99"/>
    <w:locked/>
    <w:rPr>
      <w:rFonts w:ascii="Cambria" w:hAnsi="Cambria" w:cs="Times New Roman"/>
      <w:b/>
      <w:bCs/>
      <w:color w:val="000000"/>
      <w:kern w:val="28"/>
      <w:sz w:val="32"/>
      <w:szCs w:val="32"/>
    </w:rPr>
  </w:style>
  <w:style w:type="paragraph" w:styleId="Subtitle">
    <w:name w:val="Subtitle"/>
    <w:basedOn w:val="normal0"/>
    <w:next w:val="normal0"/>
    <w:link w:val="SubtitleChar"/>
    <w:uiPriority w:val="99"/>
    <w:qFormat/>
    <w:rsid w:val="001E376F"/>
    <w:pPr>
      <w:keepNext/>
      <w:keepLines/>
      <w:spacing w:after="200"/>
      <w:contextualSpacing/>
    </w:pPr>
    <w:rPr>
      <w:rFonts w:ascii="Trebuchet MS" w:hAnsi="Trebuchet MS" w:cs="Trebuchet MS"/>
      <w:i/>
      <w:color w:val="666666"/>
      <w:sz w:val="26"/>
    </w:rPr>
  </w:style>
  <w:style w:type="character" w:customStyle="1" w:styleId="SubtitleChar">
    <w:name w:val="Subtitle Char"/>
    <w:basedOn w:val="DefaultParagraphFont"/>
    <w:link w:val="Subtitle"/>
    <w:uiPriority w:val="99"/>
    <w:locked/>
    <w:rPr>
      <w:rFonts w:ascii="Cambria" w:hAnsi="Cambria" w:cs="Times New Roman"/>
      <w:color w:val="000000"/>
      <w:sz w:val="24"/>
      <w:szCs w:val="24"/>
    </w:rPr>
  </w:style>
  <w:style w:type="table" w:customStyle="1" w:styleId="a">
    <w:name w:val="Стиль"/>
    <w:uiPriority w:val="99"/>
    <w:rsid w:val="001E376F"/>
    <w:rPr>
      <w:sz w:val="20"/>
      <w:szCs w:val="20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srazliv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10</TotalTime>
  <Pages>3</Pages>
  <Words>1126</Words>
  <Characters>6420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Paul</cp:lastModifiedBy>
  <cp:revision>3</cp:revision>
  <dcterms:created xsi:type="dcterms:W3CDTF">2015-05-02T11:37:00Z</dcterms:created>
  <dcterms:modified xsi:type="dcterms:W3CDTF">2015-05-02T18:15:00Z</dcterms:modified>
</cp:coreProperties>
</file>